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16832" w:rsidRPr="00016832" w:rsidRDefault="00016832" w:rsidP="00016832">
      <w:pPr>
        <w:keepLines/>
        <w:suppressLineNumbers/>
        <w:ind w:firstLine="567"/>
        <w:jc w:val="both"/>
        <w:rPr>
          <w:kern w:val="24"/>
        </w:rPr>
      </w:pPr>
      <w:r w:rsidRPr="00016832">
        <w:rPr>
          <w:kern w:val="24"/>
        </w:rPr>
        <w:t xml:space="preserve">Настоящая документация, извещение о проведении запроса котировок подготовлены </w:t>
      </w:r>
    </w:p>
    <w:p w:rsidR="007F1C4B" w:rsidRDefault="00016832" w:rsidP="00016832">
      <w:pPr>
        <w:keepLines/>
        <w:suppressLineNumbers/>
        <w:jc w:val="both"/>
        <w:rPr>
          <w:kern w:val="24"/>
        </w:rPr>
      </w:pPr>
      <w:r w:rsidRPr="00016832">
        <w:rPr>
          <w:kern w:val="24"/>
        </w:rPr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016832" w:rsidRPr="00016832" w:rsidRDefault="00016832" w:rsidP="00016832">
      <w:pPr>
        <w:keepLines/>
        <w:suppressLineNumbers/>
        <w:ind w:firstLine="680"/>
        <w:jc w:val="both"/>
        <w:rPr>
          <w:kern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2B3449" w:rsidP="002B3449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добровольного</w:t>
            </w:r>
            <w:r w:rsidR="00396B12" w:rsidRP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8C7A3F" w:rsidRPr="008C7A3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страхования 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отдельных категорий работников </w:t>
            </w:r>
            <w:r w:rsidR="008C7A3F" w:rsidRPr="008C7A3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от несчастн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ых</w:t>
            </w:r>
            <w:r w:rsidR="008C7A3F" w:rsidRPr="008C7A3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случа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ев и болезней</w:t>
            </w:r>
            <w:r w:rsidR="003332C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5D670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C32A2D" w:rsidP="005D670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5D6705">
              <w:rPr>
                <w:b/>
              </w:rPr>
              <w:t>1</w:t>
            </w:r>
            <w:r>
              <w:rPr>
                <w:b/>
              </w:rPr>
              <w:t>.04.202</w:t>
            </w:r>
            <w:r w:rsidR="005D6705">
              <w:rPr>
                <w:b/>
              </w:rPr>
              <w:t>2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C32A2D" w:rsidP="005D6705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5D6705">
              <w:rPr>
                <w:b/>
              </w:rPr>
              <w:t>6</w:t>
            </w:r>
            <w:r>
              <w:rPr>
                <w:b/>
              </w:rPr>
              <w:t>.04.202</w:t>
            </w:r>
            <w:r w:rsidR="005D6705">
              <w:rPr>
                <w:b/>
              </w:rPr>
              <w:t>2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C32A2D" w:rsidP="005D6705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5D6705">
              <w:rPr>
                <w:b/>
              </w:rPr>
              <w:t>6</w:t>
            </w:r>
            <w:r>
              <w:rPr>
                <w:b/>
              </w:rPr>
              <w:t>.04.202</w:t>
            </w:r>
            <w:r w:rsidR="005D6705">
              <w:rPr>
                <w:b/>
              </w:rPr>
              <w:t>2</w:t>
            </w:r>
            <w:r w:rsidR="00D00D0C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5D6705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C32A2D">
              <w:rPr>
                <w:b/>
              </w:rPr>
              <w:t>1</w:t>
            </w:r>
            <w:r w:rsidR="005D6705">
              <w:rPr>
                <w:b/>
              </w:rPr>
              <w:t>1</w:t>
            </w:r>
            <w:r w:rsidR="009F17AE">
              <w:rPr>
                <w:b/>
              </w:rPr>
              <w:t>.04.20</w:t>
            </w:r>
            <w:r w:rsidR="00C32A2D">
              <w:rPr>
                <w:b/>
              </w:rPr>
              <w:t>2</w:t>
            </w:r>
            <w:r w:rsidR="005D6705">
              <w:rPr>
                <w:b/>
              </w:rPr>
              <w:t>2</w:t>
            </w:r>
            <w:r w:rsidRPr="00DC1528">
              <w:rPr>
                <w:b/>
              </w:rPr>
              <w:t xml:space="preserve"> по </w:t>
            </w:r>
            <w:r w:rsidR="00C32A2D">
              <w:rPr>
                <w:b/>
              </w:rPr>
              <w:t>2</w:t>
            </w:r>
            <w:r w:rsidR="005D6705">
              <w:rPr>
                <w:b/>
              </w:rPr>
              <w:t>5</w:t>
            </w:r>
            <w:r w:rsidR="00C32A2D">
              <w:rPr>
                <w:b/>
              </w:rPr>
              <w:t>.04</w:t>
            </w:r>
            <w:r w:rsidRPr="00DC1528">
              <w:rPr>
                <w:b/>
              </w:rPr>
              <w:t>.202</w:t>
            </w:r>
            <w:r w:rsidR="005D6705">
              <w:rPr>
                <w:b/>
              </w:rPr>
              <w:t>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8C7A3F" w:rsidP="00D00D0C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396B12">
              <w:rPr>
                <w:b/>
              </w:rPr>
              <w:t>0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Сто пятьдесят</w:t>
            </w:r>
            <w:r w:rsidR="001F0DD5"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6832"/>
    <w:rsid w:val="000263F1"/>
    <w:rsid w:val="00027514"/>
    <w:rsid w:val="00100898"/>
    <w:rsid w:val="00105A67"/>
    <w:rsid w:val="00115D92"/>
    <w:rsid w:val="001F0DD5"/>
    <w:rsid w:val="002A1C5C"/>
    <w:rsid w:val="002B3449"/>
    <w:rsid w:val="002F4F07"/>
    <w:rsid w:val="003332CB"/>
    <w:rsid w:val="00340475"/>
    <w:rsid w:val="00396B12"/>
    <w:rsid w:val="00414063"/>
    <w:rsid w:val="004A2351"/>
    <w:rsid w:val="00515AA6"/>
    <w:rsid w:val="0054431C"/>
    <w:rsid w:val="00570CA9"/>
    <w:rsid w:val="005C19B8"/>
    <w:rsid w:val="005D6705"/>
    <w:rsid w:val="0063295C"/>
    <w:rsid w:val="00671AD1"/>
    <w:rsid w:val="00693F72"/>
    <w:rsid w:val="006C2600"/>
    <w:rsid w:val="0074195E"/>
    <w:rsid w:val="007F1C4B"/>
    <w:rsid w:val="00853C40"/>
    <w:rsid w:val="00876320"/>
    <w:rsid w:val="008818D0"/>
    <w:rsid w:val="008C7A3F"/>
    <w:rsid w:val="00994959"/>
    <w:rsid w:val="009F17AE"/>
    <w:rsid w:val="009F6DA4"/>
    <w:rsid w:val="00A05E76"/>
    <w:rsid w:val="00A55FA1"/>
    <w:rsid w:val="00A625CF"/>
    <w:rsid w:val="00B16547"/>
    <w:rsid w:val="00B5255B"/>
    <w:rsid w:val="00B552FA"/>
    <w:rsid w:val="00C32A2D"/>
    <w:rsid w:val="00C813AE"/>
    <w:rsid w:val="00C84839"/>
    <w:rsid w:val="00D00D0C"/>
    <w:rsid w:val="00D12014"/>
    <w:rsid w:val="00DC1528"/>
    <w:rsid w:val="00E66081"/>
    <w:rsid w:val="00EC20AD"/>
    <w:rsid w:val="00EF5725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73FA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2115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47</cp:revision>
  <dcterms:created xsi:type="dcterms:W3CDTF">2024-06-03T09:31:00Z</dcterms:created>
  <dcterms:modified xsi:type="dcterms:W3CDTF">2024-10-11T10:43:00Z</dcterms:modified>
</cp:coreProperties>
</file>