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986ACA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</w:t>
            </w:r>
            <w:r w:rsidR="00986AC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ых комплектующих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="00986AC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РЦ </w:t>
            </w:r>
            <w:bookmarkStart w:id="0" w:name="_GoBack"/>
            <w:bookmarkEnd w:id="0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 квартале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1E14BC" w:rsidP="00F8737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6</w:t>
            </w:r>
            <w:r w:rsidR="007F1C4B" w:rsidRPr="00BE09E0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E51EF7" w:rsidP="00E51EF7">
            <w:pPr>
              <w:jc w:val="both"/>
              <w:rPr>
                <w:b/>
              </w:rPr>
            </w:pPr>
            <w:r w:rsidRPr="00E51EF7">
              <w:rPr>
                <w:b/>
              </w:rPr>
              <w:t>10.07.2025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51EF7" w:rsidP="001E14B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1E14BC" w:rsidRPr="001E14BC">
              <w:rPr>
                <w:b/>
              </w:rPr>
              <w:t>.07.202</w:t>
            </w:r>
            <w:r w:rsidR="001E14BC">
              <w:rPr>
                <w:b/>
              </w:rPr>
              <w:t>5</w:t>
            </w:r>
            <w:r w:rsidR="001E14BC" w:rsidRPr="001E14BC">
              <w:rPr>
                <w:b/>
              </w:rPr>
              <w:t xml:space="preserve"> </w:t>
            </w:r>
            <w:r w:rsidR="00E66081" w:rsidRPr="00BE09E0">
              <w:rPr>
                <w:b/>
              </w:rPr>
              <w:t>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E51EF7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1E14BC">
              <w:rPr>
                <w:b/>
              </w:rPr>
              <w:t>2</w:t>
            </w:r>
            <w:r w:rsidR="00F87371">
              <w:rPr>
                <w:b/>
              </w:rPr>
              <w:t>7</w:t>
            </w:r>
            <w:r w:rsidR="001E14BC">
              <w:rPr>
                <w:b/>
              </w:rPr>
              <w:t>.06.2025</w:t>
            </w:r>
            <w:r w:rsidRPr="00853C40">
              <w:rPr>
                <w:b/>
              </w:rPr>
              <w:t xml:space="preserve"> по </w:t>
            </w:r>
            <w:r w:rsidR="00E51EF7">
              <w:rPr>
                <w:b/>
              </w:rPr>
              <w:t>10</w:t>
            </w:r>
            <w:r w:rsidR="001E14BC">
              <w:rPr>
                <w:b/>
              </w:rPr>
              <w:t>.07.2025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E51EF7" w:rsidP="00E66081">
            <w:pPr>
              <w:jc w:val="both"/>
              <w:rPr>
                <w:b/>
              </w:rPr>
            </w:pPr>
            <w:r w:rsidRPr="00E51EF7">
              <w:rPr>
                <w:b/>
              </w:rPr>
              <w:t>50</w:t>
            </w:r>
            <w:r>
              <w:rPr>
                <w:b/>
              </w:rPr>
              <w:t xml:space="preserve"> </w:t>
            </w:r>
            <w:r w:rsidRPr="00E51EF7">
              <w:rPr>
                <w:b/>
              </w:rPr>
              <w:t>000 (Пятьдесят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86ACA"/>
    <w:rsid w:val="009A3E4A"/>
    <w:rsid w:val="009F6DA4"/>
    <w:rsid w:val="00B16547"/>
    <w:rsid w:val="00B552FA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13F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2024-06-03T09:31:00Z</dcterms:created>
  <dcterms:modified xsi:type="dcterms:W3CDTF">2025-07-11T08:39:00Z</dcterms:modified>
</cp:coreProperties>
</file>