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9F6DA4" w:rsidP="009F6DA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элементов питания (аккумуляторные батареи) для нужд АО «</w:t>
            </w:r>
            <w:proofErr w:type="spellStart"/>
            <w:r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4 квартале 2024 года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lastRenderedPageBreak/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C20AD" w:rsidP="00EC20A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7</w:t>
            </w:r>
            <w:r w:rsidR="007F1C4B" w:rsidRPr="00BE09E0">
              <w:rPr>
                <w:b/>
              </w:rPr>
              <w:t xml:space="preserve">.2024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C20AD" w:rsidP="00EC20AD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7</w:t>
            </w:r>
            <w:r w:rsidR="007F1C4B" w:rsidRPr="00BE09E0">
              <w:rPr>
                <w:b/>
              </w:rPr>
              <w:t>.2024 10-00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C20AD" w:rsidP="00EC20AD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7</w:t>
            </w:r>
            <w:r w:rsidR="007F1C4B" w:rsidRPr="00BE09E0">
              <w:rPr>
                <w:b/>
              </w:rPr>
              <w:t>.2024 10-00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BE09E0" w:rsidRDefault="007F1C4B" w:rsidP="00770288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7F1C4B" w:rsidP="00853C40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B552FA" w:rsidRPr="00853C40">
              <w:rPr>
                <w:b/>
              </w:rPr>
              <w:t>10</w:t>
            </w:r>
            <w:r w:rsidRPr="00853C40">
              <w:rPr>
                <w:b/>
              </w:rPr>
              <w:t>.0</w:t>
            </w:r>
            <w:r w:rsidR="00853C40" w:rsidRPr="00853C40">
              <w:rPr>
                <w:b/>
              </w:rPr>
              <w:t>7</w:t>
            </w:r>
            <w:r w:rsidRPr="00853C40">
              <w:rPr>
                <w:b/>
              </w:rPr>
              <w:t xml:space="preserve">.2024 по </w:t>
            </w:r>
            <w:r w:rsidR="00B552FA" w:rsidRPr="00853C40">
              <w:rPr>
                <w:b/>
              </w:rPr>
              <w:t>2</w:t>
            </w:r>
            <w:r w:rsidR="00853C40" w:rsidRPr="00853C40">
              <w:rPr>
                <w:b/>
              </w:rPr>
              <w:t>2</w:t>
            </w:r>
            <w:r w:rsidRPr="00853C40">
              <w:rPr>
                <w:b/>
              </w:rPr>
              <w:t>.0</w:t>
            </w:r>
            <w:r w:rsidR="00853C40" w:rsidRPr="00853C40">
              <w:rPr>
                <w:b/>
              </w:rPr>
              <w:t>7</w:t>
            </w:r>
            <w:r w:rsidRPr="00853C40">
              <w:rPr>
                <w:b/>
              </w:rPr>
              <w:t>.2024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185959" w:rsidRDefault="007F1C4B" w:rsidP="00770288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7F1C4B" w:rsidRPr="00185959" w:rsidRDefault="007F1C4B" w:rsidP="00770288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7F1C4B" w:rsidRPr="00185959" w:rsidRDefault="007F1C4B" w:rsidP="00770288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7F1C4B" w:rsidRPr="00185959" w:rsidRDefault="007F1C4B" w:rsidP="00770288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7F1C4B" w:rsidRPr="00185959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7F1C4B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4B" w:rsidRPr="003814BF" w:rsidRDefault="007F1C4B" w:rsidP="00770288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</w:t>
            </w:r>
            <w:r w:rsidRPr="00F616F8">
              <w:lastRenderedPageBreak/>
              <w:t xml:space="preserve">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7F1C4B" w:rsidRPr="00E84BF0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7F1C4B" w:rsidRPr="007C631A" w:rsidRDefault="007F1C4B" w:rsidP="007F1C4B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7F1C4B" w:rsidRPr="00602882" w:rsidRDefault="007F1C4B" w:rsidP="00770288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7F1C4B" w:rsidRPr="00C12B26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7F1C4B" w:rsidRPr="00602882" w:rsidRDefault="007F1C4B" w:rsidP="00770288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7F1C4B" w:rsidRDefault="007F1C4B" w:rsidP="00770288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7F1C4B" w:rsidRPr="00602882" w:rsidRDefault="007F1C4B" w:rsidP="00770288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7F1C4B" w:rsidRPr="00F77BD7" w:rsidRDefault="007F1C4B" w:rsidP="007702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7F1C4B" w:rsidRPr="00602882" w:rsidTr="00770288">
        <w:trPr>
          <w:trHeight w:val="581"/>
          <w:jc w:val="center"/>
        </w:trPr>
        <w:tc>
          <w:tcPr>
            <w:tcW w:w="822" w:type="dxa"/>
          </w:tcPr>
          <w:p w:rsidR="007F1C4B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7F1C4B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7F1C4B" w:rsidRPr="00602882" w:rsidRDefault="007F1C4B" w:rsidP="00770288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7F1C4B" w:rsidRPr="00602882" w:rsidTr="00770288">
        <w:trPr>
          <w:trHeight w:val="870"/>
          <w:jc w:val="center"/>
        </w:trPr>
        <w:tc>
          <w:tcPr>
            <w:tcW w:w="822" w:type="dxa"/>
          </w:tcPr>
          <w:p w:rsidR="007F1C4B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7F1C4B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972" w:type="dxa"/>
          </w:tcPr>
          <w:p w:rsidR="007F1C4B" w:rsidRPr="00163D4D" w:rsidRDefault="007F1C4B" w:rsidP="00770288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7F1C4B" w:rsidRPr="00B410F7" w:rsidRDefault="007F1C4B" w:rsidP="00770288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972" w:type="dxa"/>
          </w:tcPr>
          <w:p w:rsidR="007F1C4B" w:rsidRPr="00693F72" w:rsidRDefault="007F1C4B" w:rsidP="00770288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7F1C4B" w:rsidRPr="00693F72" w:rsidRDefault="007F1C4B" w:rsidP="00770288">
            <w:pPr>
              <w:jc w:val="both"/>
            </w:pP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7F1C4B" w:rsidRPr="00693F72" w:rsidRDefault="007F1C4B" w:rsidP="00770288">
            <w:pPr>
              <w:jc w:val="both"/>
              <w:rPr>
                <w:b/>
              </w:rPr>
            </w:pPr>
            <w:r w:rsidRPr="00693F72">
              <w:rPr>
                <w:b/>
              </w:rPr>
              <w:t>1</w:t>
            </w:r>
            <w:r w:rsidR="00693F72" w:rsidRPr="00693F72">
              <w:rPr>
                <w:b/>
              </w:rPr>
              <w:t>5</w:t>
            </w:r>
            <w:r w:rsidRPr="00693F72">
              <w:rPr>
                <w:b/>
              </w:rPr>
              <w:t xml:space="preserve"> </w:t>
            </w:r>
            <w:r w:rsidR="00693F72" w:rsidRPr="00693F72">
              <w:rPr>
                <w:b/>
              </w:rPr>
              <w:t>5</w:t>
            </w:r>
            <w:r w:rsidRPr="00693F72">
              <w:rPr>
                <w:b/>
              </w:rPr>
              <w:t xml:space="preserve">00 (пятнадцать тысяч </w:t>
            </w:r>
            <w:r w:rsidR="00693F72" w:rsidRPr="00693F72">
              <w:rPr>
                <w:b/>
              </w:rPr>
              <w:t>пятьсот</w:t>
            </w:r>
            <w:r w:rsidR="00515AA6">
              <w:rPr>
                <w:b/>
              </w:rPr>
              <w:t>)</w:t>
            </w:r>
            <w:r w:rsidR="00693F72" w:rsidRPr="00693F72">
              <w:rPr>
                <w:b/>
              </w:rPr>
              <w:t xml:space="preserve"> </w:t>
            </w:r>
            <w:r w:rsidRPr="00693F72">
              <w:rPr>
                <w:b/>
              </w:rPr>
              <w:t>рублей 00 коп.</w:t>
            </w:r>
          </w:p>
          <w:p w:rsidR="007F1C4B" w:rsidRPr="00693F72" w:rsidRDefault="007F1C4B" w:rsidP="00770288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</w:t>
            </w:r>
            <w:bookmarkStart w:id="1" w:name="_GoBack"/>
            <w:bookmarkEnd w:id="1"/>
            <w:r w:rsidRPr="00693F72">
              <w:t>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972" w:type="dxa"/>
          </w:tcPr>
          <w:p w:rsidR="007F1C4B" w:rsidRPr="00E63FBB" w:rsidRDefault="007F1C4B" w:rsidP="0077028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 xml:space="preserve">Оплата Заказчиком производится безналичным способом расчетов (в форме платежных поручений), </w:t>
            </w:r>
            <w:r w:rsidRPr="00E63FBB">
              <w:rPr>
                <w:color w:val="000000"/>
              </w:rPr>
              <w:lastRenderedPageBreak/>
              <w:t>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7F1C4B" w:rsidRDefault="007F1C4B" w:rsidP="00770288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7F1C4B" w:rsidRPr="00602882" w:rsidRDefault="007F1C4B" w:rsidP="00770288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7F1C4B" w:rsidRPr="00A05A78" w:rsidRDefault="007F1C4B" w:rsidP="0077028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972" w:type="dxa"/>
          </w:tcPr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lastRenderedPageBreak/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7F1C4B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7F1C4B" w:rsidRPr="00A97150" w:rsidRDefault="007F1C4B" w:rsidP="00770288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515AA6"/>
    <w:rsid w:val="00693F72"/>
    <w:rsid w:val="006C2600"/>
    <w:rsid w:val="007F1C4B"/>
    <w:rsid w:val="00853C40"/>
    <w:rsid w:val="008818D0"/>
    <w:rsid w:val="009F6DA4"/>
    <w:rsid w:val="00B552FA"/>
    <w:rsid w:val="00E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83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8</cp:revision>
  <dcterms:created xsi:type="dcterms:W3CDTF">2024-06-03T09:31:00Z</dcterms:created>
  <dcterms:modified xsi:type="dcterms:W3CDTF">2024-07-09T13:00:00Z</dcterms:modified>
</cp:coreProperties>
</file>