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835B6" w:rsidRDefault="00D835B6" w:rsidP="00D835B6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972"/>
      </w:tblGrid>
      <w:tr w:rsidR="007F1C4B" w:rsidRPr="00602882" w:rsidTr="00770288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972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770288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972" w:type="dxa"/>
          </w:tcPr>
          <w:p w:rsidR="007F1C4B" w:rsidRPr="00492850" w:rsidRDefault="004007C1" w:rsidP="004007C1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Выполнение монтажных работ по установке </w:t>
            </w:r>
            <w:r w:rsidR="0022761E" w:rsidRPr="0022761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кондиционера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и замене пускового конденсатора</w:t>
            </w:r>
            <w:r w:rsidR="00BD362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АО «</w:t>
            </w:r>
            <w:proofErr w:type="spellStart"/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</w:t>
            </w:r>
            <w:r w:rsidR="00BD362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5 г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оду</w:t>
            </w:r>
          </w:p>
        </w:tc>
      </w:tr>
      <w:tr w:rsidR="007F1C4B" w:rsidRPr="00602882" w:rsidTr="00770288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972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770288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770288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770288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972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770288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972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</w:t>
            </w:r>
            <w:r w:rsidRPr="00B21BF8">
              <w:lastRenderedPageBreak/>
              <w:t xml:space="preserve">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4007C1" w:rsidP="004007C1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522650">
              <w:rPr>
                <w:b/>
              </w:rPr>
              <w:t>.</w:t>
            </w:r>
            <w:r>
              <w:rPr>
                <w:b/>
              </w:rPr>
              <w:t>07</w:t>
            </w:r>
            <w:r w:rsidR="007F1C4B" w:rsidRPr="00BE09E0">
              <w:rPr>
                <w:b/>
              </w:rPr>
              <w:t>.202</w:t>
            </w:r>
            <w:r>
              <w:rPr>
                <w:b/>
              </w:rPr>
              <w:t>5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4007C1" w:rsidP="004007C1">
            <w:pPr>
              <w:jc w:val="both"/>
              <w:rPr>
                <w:b/>
              </w:rPr>
            </w:pPr>
            <w:r>
              <w:rPr>
                <w:b/>
              </w:rPr>
              <w:t>04</w:t>
            </w:r>
            <w:r w:rsidR="007F1C4B" w:rsidRPr="00BE09E0">
              <w:rPr>
                <w:b/>
              </w:rPr>
              <w:t>.</w:t>
            </w:r>
            <w:r>
              <w:rPr>
                <w:b/>
              </w:rPr>
              <w:t>08</w:t>
            </w:r>
            <w:r w:rsidR="007F1C4B" w:rsidRPr="00BE09E0">
              <w:rPr>
                <w:b/>
              </w:rPr>
              <w:t>.202</w:t>
            </w:r>
            <w:r>
              <w:rPr>
                <w:b/>
              </w:rPr>
              <w:t>5</w:t>
            </w:r>
            <w:r w:rsidR="007F1C4B" w:rsidRPr="00BE09E0">
              <w:rPr>
                <w:b/>
              </w:rPr>
              <w:t xml:space="preserve"> 10-00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рассмотрения и оценки котировочных заявок </w:t>
            </w:r>
            <w:r w:rsidRPr="00602882">
              <w:rPr>
                <w:b/>
              </w:rPr>
              <w:lastRenderedPageBreak/>
              <w:t>(по местному времени Заказчика)</w:t>
            </w:r>
          </w:p>
        </w:tc>
        <w:tc>
          <w:tcPr>
            <w:tcW w:w="5972" w:type="dxa"/>
          </w:tcPr>
          <w:p w:rsidR="00E66081" w:rsidRPr="00BE09E0" w:rsidRDefault="004007C1" w:rsidP="00E66081">
            <w:pPr>
              <w:jc w:val="both"/>
              <w:rPr>
                <w:b/>
              </w:rPr>
            </w:pPr>
            <w:r w:rsidRPr="004007C1">
              <w:rPr>
                <w:b/>
              </w:rPr>
              <w:lastRenderedPageBreak/>
              <w:t xml:space="preserve">04.08.2025 </w:t>
            </w:r>
            <w:r w:rsidR="00522650" w:rsidRPr="00522650">
              <w:rPr>
                <w:b/>
              </w:rPr>
              <w:t>10-00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972" w:type="dxa"/>
          </w:tcPr>
          <w:p w:rsidR="00E66081" w:rsidRPr="00BE09E0" w:rsidRDefault="00E66081" w:rsidP="004007C1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4007C1">
              <w:rPr>
                <w:b/>
              </w:rPr>
              <w:t>25</w:t>
            </w:r>
            <w:r w:rsidRPr="00853C40">
              <w:rPr>
                <w:b/>
              </w:rPr>
              <w:t>.</w:t>
            </w:r>
            <w:r w:rsidR="004007C1">
              <w:rPr>
                <w:b/>
              </w:rPr>
              <w:t>07</w:t>
            </w:r>
            <w:r w:rsidRPr="00853C40">
              <w:rPr>
                <w:b/>
              </w:rPr>
              <w:t>.202</w:t>
            </w:r>
            <w:r w:rsidR="004007C1">
              <w:rPr>
                <w:b/>
              </w:rPr>
              <w:t>5</w:t>
            </w:r>
            <w:r w:rsidRPr="00853C40">
              <w:rPr>
                <w:b/>
              </w:rPr>
              <w:t xml:space="preserve"> по </w:t>
            </w:r>
            <w:r w:rsidR="004007C1">
              <w:rPr>
                <w:b/>
              </w:rPr>
              <w:t>04</w:t>
            </w:r>
            <w:r w:rsidRPr="00853C40">
              <w:rPr>
                <w:b/>
              </w:rPr>
              <w:t>.</w:t>
            </w:r>
            <w:r w:rsidR="004007C1">
              <w:rPr>
                <w:b/>
              </w:rPr>
              <w:t>08</w:t>
            </w:r>
            <w:r w:rsidRPr="00853C40">
              <w:rPr>
                <w:b/>
              </w:rPr>
              <w:t>.202</w:t>
            </w:r>
            <w:r w:rsidR="004007C1">
              <w:rPr>
                <w:b/>
              </w:rPr>
              <w:t>5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185959" w:rsidRDefault="00E66081" w:rsidP="00E66081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3814BF" w:rsidRDefault="00E66081" w:rsidP="00E66081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972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</w:t>
            </w:r>
            <w:r w:rsidRPr="00C12B26">
              <w:lastRenderedPageBreak/>
              <w:t>участие в запросе котировок других участников закупки.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972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770288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683" w:type="dxa"/>
          </w:tcPr>
          <w:p w:rsidR="00E66081" w:rsidRPr="00163E4C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  <w:r w:rsidR="00163E4C" w:rsidRPr="0022761E">
              <w:rPr>
                <w:b/>
                <w:bCs/>
              </w:rPr>
              <w:t>/</w:t>
            </w:r>
            <w:r w:rsidR="00163E4C">
              <w:rPr>
                <w:b/>
                <w:bCs/>
              </w:rPr>
              <w:t xml:space="preserve"> оказания услуг</w:t>
            </w:r>
            <w:r w:rsidR="0022761E">
              <w:rPr>
                <w:b/>
                <w:bCs/>
              </w:rPr>
              <w:t>/ выполнения работ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770288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  <w:r w:rsidR="00163E4C">
              <w:rPr>
                <w:b/>
                <w:bCs/>
              </w:rPr>
              <w:t>/ оказания услуг</w:t>
            </w:r>
            <w:r w:rsidR="0022761E">
              <w:rPr>
                <w:b/>
                <w:bCs/>
              </w:rPr>
              <w:t xml:space="preserve">/ </w:t>
            </w:r>
            <w:r w:rsidR="0022761E">
              <w:rPr>
                <w:b/>
                <w:bCs/>
              </w:rPr>
              <w:t>выполнения работ</w:t>
            </w:r>
          </w:p>
        </w:tc>
        <w:tc>
          <w:tcPr>
            <w:tcW w:w="5972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0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0"/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  <w:r w:rsidR="00163E4C">
              <w:rPr>
                <w:b/>
                <w:bCs/>
              </w:rPr>
              <w:t>/ оказания услуг</w:t>
            </w:r>
            <w:r w:rsidR="0022761E">
              <w:rPr>
                <w:b/>
                <w:bCs/>
              </w:rPr>
              <w:t xml:space="preserve">/ </w:t>
            </w:r>
            <w:r w:rsidR="0022761E">
              <w:rPr>
                <w:b/>
                <w:bCs/>
              </w:rPr>
              <w:t>выполнения работ</w:t>
            </w:r>
          </w:p>
        </w:tc>
        <w:tc>
          <w:tcPr>
            <w:tcW w:w="5972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972" w:type="dxa"/>
          </w:tcPr>
          <w:p w:rsidR="001B5E34" w:rsidRDefault="004007C1" w:rsidP="00D835B6">
            <w:pPr>
              <w:jc w:val="both"/>
              <w:rPr>
                <w:b/>
              </w:rPr>
            </w:pPr>
            <w:r>
              <w:rPr>
                <w:b/>
              </w:rPr>
              <w:t>40</w:t>
            </w:r>
            <w:r w:rsidR="00735E3D" w:rsidRPr="00163E4C">
              <w:rPr>
                <w:b/>
              </w:rPr>
              <w:t xml:space="preserve"> </w:t>
            </w:r>
            <w:r w:rsidR="001B5E34" w:rsidRPr="001B5E34">
              <w:rPr>
                <w:b/>
              </w:rPr>
              <w:t>000 (</w:t>
            </w:r>
            <w:r>
              <w:rPr>
                <w:b/>
              </w:rPr>
              <w:t>Сорок</w:t>
            </w:r>
            <w:r w:rsidR="001B5E34" w:rsidRPr="001B5E34">
              <w:rPr>
                <w:b/>
              </w:rPr>
              <w:t xml:space="preserve"> тысяч) рублей 00 копеек </w:t>
            </w:r>
          </w:p>
          <w:p w:rsidR="00E66081" w:rsidRPr="00693F72" w:rsidRDefault="00E66081" w:rsidP="00D835B6">
            <w:pPr>
              <w:jc w:val="both"/>
            </w:pPr>
            <w:r w:rsidRPr="00693F72">
              <w:t xml:space="preserve"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</w:t>
            </w:r>
            <w:r w:rsidRPr="00693F72">
              <w:lastRenderedPageBreak/>
              <w:t>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  <w:r w:rsidR="00163E4C">
              <w:rPr>
                <w:b/>
              </w:rPr>
              <w:t>/ оказанных услуг</w:t>
            </w:r>
            <w:r w:rsidR="0022761E">
              <w:rPr>
                <w:b/>
              </w:rPr>
              <w:t xml:space="preserve">/ </w:t>
            </w:r>
            <w:r w:rsidR="0022761E">
              <w:rPr>
                <w:b/>
                <w:bCs/>
              </w:rPr>
              <w:t>выполнения работ</w:t>
            </w:r>
            <w:bookmarkStart w:id="1" w:name="_GoBack"/>
            <w:bookmarkEnd w:id="1"/>
          </w:p>
        </w:tc>
        <w:tc>
          <w:tcPr>
            <w:tcW w:w="5972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972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972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63E4C"/>
    <w:rsid w:val="001B5E34"/>
    <w:rsid w:val="0022761E"/>
    <w:rsid w:val="004007C1"/>
    <w:rsid w:val="004373AA"/>
    <w:rsid w:val="00515AA6"/>
    <w:rsid w:val="00522650"/>
    <w:rsid w:val="00693F72"/>
    <w:rsid w:val="006C2600"/>
    <w:rsid w:val="00735E3D"/>
    <w:rsid w:val="007F1C4B"/>
    <w:rsid w:val="00853C40"/>
    <w:rsid w:val="008818D0"/>
    <w:rsid w:val="009F6DA4"/>
    <w:rsid w:val="00B16547"/>
    <w:rsid w:val="00B552FA"/>
    <w:rsid w:val="00B67B03"/>
    <w:rsid w:val="00BD3621"/>
    <w:rsid w:val="00D835B6"/>
    <w:rsid w:val="00E66081"/>
    <w:rsid w:val="00EC20AD"/>
    <w:rsid w:val="00F0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D921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2024-06-03T09:31:00Z</dcterms:created>
  <dcterms:modified xsi:type="dcterms:W3CDTF">2025-08-11T13:58:00Z</dcterms:modified>
</cp:coreProperties>
</file>